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EA8" w:rsidRPr="00375EA8" w:rsidRDefault="00375EA8" w:rsidP="00375EA8">
      <w:pPr>
        <w:spacing w:after="0" w:line="360" w:lineRule="auto"/>
        <w:ind w:firstLine="709"/>
        <w:jc w:val="center"/>
        <w:rPr>
          <w:rFonts w:ascii="Times New Roman" w:hAnsi="Times New Roman" w:cs="Times New Roman"/>
          <w:b/>
          <w:sz w:val="24"/>
          <w:szCs w:val="24"/>
        </w:rPr>
      </w:pPr>
      <w:r w:rsidRPr="00375EA8">
        <w:rPr>
          <w:rFonts w:ascii="Times New Roman" w:hAnsi="Times New Roman" w:cs="Times New Roman"/>
          <w:b/>
          <w:sz w:val="24"/>
          <w:szCs w:val="24"/>
        </w:rPr>
        <w:t>ЭНЕРГОЭФФЕКТИВНОСТЬ И ЭНЕРГОСБЕРЕЖЕНИЕ В ОРГАНИЗАЦИИ ОСВЕЩЕНИЯ ГОРОДСКОЙ СРЕДЫ</w:t>
      </w:r>
    </w:p>
    <w:p w:rsidR="00375EA8" w:rsidRDefault="00375EA8" w:rsidP="00375EA8">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С.А. Воробьев</w:t>
      </w:r>
    </w:p>
    <w:p w:rsidR="00375EA8" w:rsidRDefault="00375EA8" w:rsidP="00375EA8">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кандидат сельскохозяйственных наук,</w:t>
      </w:r>
    </w:p>
    <w:p w:rsidR="00375EA8" w:rsidRDefault="00375EA8" w:rsidP="00375EA8">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доцент кафедры проектирования городской среды</w:t>
      </w:r>
    </w:p>
    <w:p w:rsidR="00375EA8" w:rsidRDefault="00375EA8" w:rsidP="00375EA8">
      <w:pPr>
        <w:spacing w:after="0" w:line="360" w:lineRule="auto"/>
        <w:ind w:firstLine="709"/>
        <w:jc w:val="right"/>
        <w:rPr>
          <w:rFonts w:ascii="Times New Roman" w:hAnsi="Times New Roman" w:cs="Times New Roman"/>
          <w:sz w:val="24"/>
          <w:szCs w:val="24"/>
        </w:rPr>
      </w:pPr>
    </w:p>
    <w:p w:rsidR="00375EA8" w:rsidRDefault="00375EA8" w:rsidP="00375EA8">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А.О. Драчёва</w:t>
      </w:r>
    </w:p>
    <w:p w:rsidR="00375EA8" w:rsidRDefault="00375EA8" w:rsidP="00375EA8">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студент магистратуры</w:t>
      </w:r>
    </w:p>
    <w:p w:rsidR="00375EA8" w:rsidRDefault="00375EA8" w:rsidP="00375EA8">
      <w:pPr>
        <w:spacing w:after="0" w:line="360" w:lineRule="auto"/>
        <w:ind w:firstLine="709"/>
        <w:jc w:val="right"/>
        <w:rPr>
          <w:rFonts w:ascii="Times New Roman" w:hAnsi="Times New Roman" w:cs="Times New Roman"/>
          <w:sz w:val="24"/>
          <w:szCs w:val="24"/>
        </w:rPr>
      </w:pPr>
    </w:p>
    <w:p w:rsidR="00375EA8" w:rsidRDefault="00375EA8" w:rsidP="00375EA8">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К.Д. </w:t>
      </w:r>
      <w:proofErr w:type="spellStart"/>
      <w:r>
        <w:rPr>
          <w:rFonts w:ascii="Times New Roman" w:hAnsi="Times New Roman" w:cs="Times New Roman"/>
          <w:sz w:val="24"/>
          <w:szCs w:val="24"/>
        </w:rPr>
        <w:t>Андрейчук</w:t>
      </w:r>
      <w:proofErr w:type="spellEnd"/>
    </w:p>
    <w:p w:rsidR="00375EA8" w:rsidRDefault="00375EA8" w:rsidP="00375EA8">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студент магистратуры</w:t>
      </w:r>
    </w:p>
    <w:p w:rsidR="00375EA8" w:rsidRDefault="00375EA8" w:rsidP="00375EA8">
      <w:pPr>
        <w:spacing w:after="0" w:line="360" w:lineRule="auto"/>
        <w:ind w:firstLine="709"/>
        <w:jc w:val="right"/>
        <w:rPr>
          <w:rFonts w:ascii="Times New Roman" w:hAnsi="Times New Roman" w:cs="Times New Roman"/>
          <w:sz w:val="24"/>
          <w:szCs w:val="24"/>
        </w:rPr>
      </w:pPr>
    </w:p>
    <w:p w:rsidR="00375EA8" w:rsidRDefault="00375EA8" w:rsidP="00375EA8">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Орловский государственный университет имени И.С. Тургенева, г. Орел</w:t>
      </w:r>
    </w:p>
    <w:p w:rsidR="00375EA8" w:rsidRDefault="00375EA8" w:rsidP="00375EA8">
      <w:pPr>
        <w:spacing w:after="0" w:line="360" w:lineRule="auto"/>
        <w:ind w:firstLine="709"/>
        <w:jc w:val="right"/>
        <w:rPr>
          <w:rFonts w:ascii="Times New Roman" w:hAnsi="Times New Roman" w:cs="Times New Roman"/>
          <w:sz w:val="24"/>
          <w:szCs w:val="24"/>
        </w:rPr>
      </w:pPr>
    </w:p>
    <w:p w:rsidR="00375EA8" w:rsidRPr="00A64345" w:rsidRDefault="00375EA8" w:rsidP="00375EA8">
      <w:pPr>
        <w:spacing w:after="0" w:line="360" w:lineRule="auto"/>
        <w:ind w:firstLine="709"/>
        <w:jc w:val="right"/>
        <w:rPr>
          <w:rFonts w:ascii="Times New Roman" w:hAnsi="Times New Roman" w:cs="Times New Roman"/>
          <w:sz w:val="24"/>
          <w:szCs w:val="24"/>
          <w:lang w:val="en-US"/>
        </w:rPr>
      </w:pPr>
      <w:r>
        <w:rPr>
          <w:rFonts w:ascii="Times New Roman" w:hAnsi="Times New Roman" w:cs="Times New Roman"/>
          <w:sz w:val="24"/>
          <w:szCs w:val="24"/>
        </w:rPr>
        <w:t>тел</w:t>
      </w:r>
      <w:r w:rsidRPr="00A64345">
        <w:rPr>
          <w:rFonts w:ascii="Times New Roman" w:hAnsi="Times New Roman" w:cs="Times New Roman"/>
          <w:sz w:val="24"/>
          <w:szCs w:val="24"/>
          <w:lang w:val="en-US"/>
        </w:rPr>
        <w:t xml:space="preserve">. </w:t>
      </w:r>
      <w:r w:rsidR="00A64345" w:rsidRPr="00A64345">
        <w:rPr>
          <w:rFonts w:ascii="Times New Roman" w:hAnsi="Times New Roman" w:cs="Times New Roman"/>
          <w:sz w:val="24"/>
          <w:szCs w:val="24"/>
          <w:lang w:val="en-US"/>
        </w:rPr>
        <w:t>+</w:t>
      </w:r>
      <w:r w:rsidR="00BC7A3F">
        <w:rPr>
          <w:rFonts w:ascii="Times New Roman" w:hAnsi="Times New Roman" w:cs="Times New Roman"/>
          <w:sz w:val="24"/>
          <w:szCs w:val="24"/>
          <w:lang w:val="en-US"/>
        </w:rPr>
        <w:t>7 (9</w:t>
      </w:r>
      <w:r w:rsidR="00BC7A3F" w:rsidRPr="00BC7A3F">
        <w:rPr>
          <w:rFonts w:ascii="Times New Roman" w:hAnsi="Times New Roman" w:cs="Times New Roman"/>
          <w:sz w:val="24"/>
          <w:szCs w:val="24"/>
          <w:lang w:val="en-US"/>
        </w:rPr>
        <w:t>20</w:t>
      </w:r>
      <w:r w:rsidR="00BC7A3F">
        <w:rPr>
          <w:rFonts w:ascii="Times New Roman" w:hAnsi="Times New Roman" w:cs="Times New Roman"/>
          <w:sz w:val="24"/>
          <w:szCs w:val="24"/>
          <w:lang w:val="en-US"/>
        </w:rPr>
        <w:t>)-288-84-07</w:t>
      </w:r>
    </w:p>
    <w:p w:rsidR="00375EA8" w:rsidRPr="00BC7A3F" w:rsidRDefault="00375EA8" w:rsidP="00375EA8">
      <w:pPr>
        <w:spacing w:after="0" w:line="360" w:lineRule="auto"/>
        <w:ind w:firstLine="709"/>
        <w:jc w:val="right"/>
        <w:rPr>
          <w:rFonts w:ascii="Times New Roman" w:hAnsi="Times New Roman" w:cs="Times New Roman"/>
          <w:sz w:val="24"/>
          <w:szCs w:val="24"/>
          <w:lang w:val="en-US"/>
        </w:rPr>
      </w:pPr>
      <w:proofErr w:type="spellStart"/>
      <w:r w:rsidRPr="00375EA8">
        <w:rPr>
          <w:rFonts w:ascii="Times New Roman" w:hAnsi="Times New Roman" w:cs="Times New Roman"/>
          <w:sz w:val="24"/>
          <w:szCs w:val="24"/>
          <w:lang w:val="de-DE"/>
        </w:rPr>
        <w:t>e-mail</w:t>
      </w:r>
      <w:proofErr w:type="spellEnd"/>
      <w:r w:rsidRPr="00375EA8">
        <w:rPr>
          <w:rFonts w:ascii="Times New Roman" w:hAnsi="Times New Roman" w:cs="Times New Roman"/>
          <w:sz w:val="24"/>
          <w:szCs w:val="24"/>
          <w:lang w:val="de-DE"/>
        </w:rPr>
        <w:t xml:space="preserve">: </w:t>
      </w:r>
      <w:r w:rsidR="00BC7A3F">
        <w:rPr>
          <w:rFonts w:ascii="Times New Roman" w:hAnsi="Times New Roman" w:cs="Times New Roman"/>
          <w:sz w:val="24"/>
          <w:szCs w:val="24"/>
          <w:lang w:val="en-US"/>
        </w:rPr>
        <w:t>nastya.drachyova@bk.ru</w:t>
      </w:r>
    </w:p>
    <w:p w:rsidR="00375EA8" w:rsidRPr="00A76C41" w:rsidRDefault="00A76C41" w:rsidP="00A76C41">
      <w:pPr>
        <w:spacing w:after="0" w:line="360" w:lineRule="auto"/>
        <w:ind w:firstLine="709"/>
        <w:rPr>
          <w:rFonts w:ascii="Times New Roman" w:hAnsi="Times New Roman" w:cs="Times New Roman"/>
          <w:i/>
          <w:sz w:val="24"/>
          <w:szCs w:val="24"/>
        </w:rPr>
      </w:pPr>
      <w:r w:rsidRPr="00A76C41">
        <w:rPr>
          <w:rFonts w:ascii="Times New Roman" w:hAnsi="Times New Roman" w:cs="Times New Roman"/>
          <w:i/>
          <w:sz w:val="24"/>
          <w:szCs w:val="24"/>
        </w:rPr>
        <w:t xml:space="preserve">Рассматриваются ключевые проблемы в модернизации наружного освещения городской среды и методы их решения. </w:t>
      </w:r>
    </w:p>
    <w:p w:rsidR="00A76C41" w:rsidRDefault="00A76C41" w:rsidP="00FA32FB">
      <w:pPr>
        <w:spacing w:after="0" w:line="360" w:lineRule="auto"/>
        <w:ind w:firstLine="709"/>
        <w:jc w:val="both"/>
        <w:rPr>
          <w:rFonts w:ascii="Times New Roman" w:hAnsi="Times New Roman" w:cs="Times New Roman"/>
          <w:i/>
          <w:sz w:val="24"/>
          <w:szCs w:val="24"/>
        </w:rPr>
      </w:pPr>
      <w:r w:rsidRPr="00FA32FB">
        <w:rPr>
          <w:rFonts w:ascii="Times New Roman" w:hAnsi="Times New Roman" w:cs="Times New Roman"/>
          <w:b/>
          <w:i/>
          <w:sz w:val="24"/>
          <w:szCs w:val="24"/>
        </w:rPr>
        <w:t xml:space="preserve">Ключевые слова: </w:t>
      </w:r>
      <w:r w:rsidRPr="00FA32FB">
        <w:rPr>
          <w:rFonts w:ascii="Times New Roman" w:hAnsi="Times New Roman" w:cs="Times New Roman"/>
          <w:i/>
          <w:sz w:val="24"/>
          <w:szCs w:val="24"/>
        </w:rPr>
        <w:t xml:space="preserve">освещение, энергосбережение, </w:t>
      </w:r>
      <w:proofErr w:type="spellStart"/>
      <w:r w:rsidRPr="00FA32FB">
        <w:rPr>
          <w:rFonts w:ascii="Times New Roman" w:hAnsi="Times New Roman" w:cs="Times New Roman"/>
          <w:i/>
          <w:sz w:val="24"/>
          <w:szCs w:val="24"/>
        </w:rPr>
        <w:t>энергоэффективность</w:t>
      </w:r>
      <w:proofErr w:type="spellEnd"/>
      <w:r w:rsidRPr="00FA32FB">
        <w:rPr>
          <w:rFonts w:ascii="Times New Roman" w:hAnsi="Times New Roman" w:cs="Times New Roman"/>
          <w:i/>
          <w:sz w:val="24"/>
          <w:szCs w:val="24"/>
        </w:rPr>
        <w:t>, городская среда</w:t>
      </w:r>
      <w:r w:rsidR="00FA32FB">
        <w:rPr>
          <w:rFonts w:ascii="Times New Roman" w:hAnsi="Times New Roman" w:cs="Times New Roman"/>
          <w:i/>
          <w:sz w:val="24"/>
          <w:szCs w:val="24"/>
        </w:rPr>
        <w:t>.</w:t>
      </w:r>
    </w:p>
    <w:p w:rsidR="00FA32FB" w:rsidRPr="00FA32FB" w:rsidRDefault="00FA32FB" w:rsidP="00FA32FB">
      <w:pPr>
        <w:spacing w:after="0" w:line="360" w:lineRule="auto"/>
        <w:ind w:firstLine="709"/>
        <w:jc w:val="both"/>
        <w:rPr>
          <w:rFonts w:ascii="Times New Roman" w:hAnsi="Times New Roman" w:cs="Times New Roman"/>
          <w:i/>
          <w:sz w:val="24"/>
          <w:szCs w:val="24"/>
        </w:rPr>
      </w:pPr>
    </w:p>
    <w:p w:rsidR="00D2145A" w:rsidRPr="00A03500" w:rsidRDefault="00D2145A" w:rsidP="00A64345">
      <w:pPr>
        <w:spacing w:after="0" w:line="360" w:lineRule="auto"/>
        <w:ind w:firstLine="851"/>
        <w:jc w:val="both"/>
        <w:rPr>
          <w:rFonts w:ascii="Times New Roman" w:hAnsi="Times New Roman" w:cs="Times New Roman"/>
          <w:sz w:val="24"/>
          <w:szCs w:val="24"/>
        </w:rPr>
      </w:pPr>
      <w:r w:rsidRPr="00A03500">
        <w:rPr>
          <w:rFonts w:ascii="Times New Roman" w:hAnsi="Times New Roman" w:cs="Times New Roman"/>
          <w:sz w:val="24"/>
          <w:szCs w:val="24"/>
        </w:rPr>
        <w:t>Абсолютно во всех программах ставятся задачи снижения энергопотребления и достижения существенных</w:t>
      </w:r>
      <w:r w:rsidR="00335063">
        <w:rPr>
          <w:rFonts w:ascii="Times New Roman" w:hAnsi="Times New Roman" w:cs="Times New Roman"/>
          <w:sz w:val="24"/>
          <w:szCs w:val="24"/>
        </w:rPr>
        <w:t xml:space="preserve"> показателей экономии (50-60%).</w:t>
      </w:r>
      <w:r w:rsidRPr="00A03500">
        <w:rPr>
          <w:rFonts w:ascii="Times New Roman" w:hAnsi="Times New Roman" w:cs="Times New Roman"/>
          <w:sz w:val="24"/>
          <w:szCs w:val="24"/>
        </w:rPr>
        <w:t xml:space="preserve"> </w:t>
      </w:r>
      <w:bookmarkStart w:id="0" w:name="_GoBack"/>
      <w:bookmarkEnd w:id="0"/>
      <w:r w:rsidRPr="00A03500">
        <w:rPr>
          <w:rFonts w:ascii="Times New Roman" w:hAnsi="Times New Roman" w:cs="Times New Roman"/>
          <w:sz w:val="24"/>
          <w:szCs w:val="24"/>
        </w:rPr>
        <w:t xml:space="preserve">Что касается уличного наружного освещения, то данная сфера является серьезной статьей расходов любого муниципального образования. Следует отметить, что во многих муниципальных образованиях Российской Федерации имеет место сильный физический износ уличного и дорожного осветительного оборудования. </w:t>
      </w:r>
    </w:p>
    <w:p w:rsidR="005B69CF" w:rsidRPr="00A03500" w:rsidRDefault="00D2145A" w:rsidP="00A64345">
      <w:pPr>
        <w:spacing w:after="0" w:line="360" w:lineRule="auto"/>
        <w:ind w:firstLine="851"/>
        <w:jc w:val="both"/>
        <w:rPr>
          <w:rFonts w:ascii="Times New Roman" w:hAnsi="Times New Roman" w:cs="Times New Roman"/>
          <w:sz w:val="24"/>
          <w:szCs w:val="24"/>
        </w:rPr>
      </w:pPr>
      <w:r w:rsidRPr="00A03500">
        <w:rPr>
          <w:rFonts w:ascii="Times New Roman" w:hAnsi="Times New Roman" w:cs="Times New Roman"/>
          <w:sz w:val="24"/>
          <w:szCs w:val="24"/>
        </w:rPr>
        <w:t xml:space="preserve">Освещенность дорог ниже нормы в 2-3 раза, светильники имеют устаревшую конструкцию, в светильниках используются низкоэффективные лампы накаливания (светоотдача 12 лм/Вт) и ртутные лампы (светоотдача 55 лм/Вт). Доля старого оборудования, включая не только светильники, но и опоры, кабели, в России составляет более 60%. Схемы электроснабжения не обеспечивают необходимый уровень надежности установок наружного освещения. </w:t>
      </w:r>
      <w:r w:rsidR="00FA32FB" w:rsidRPr="00A03500">
        <w:rPr>
          <w:rFonts w:ascii="Times New Roman" w:hAnsi="Times New Roman" w:cs="Times New Roman"/>
          <w:sz w:val="24"/>
          <w:szCs w:val="24"/>
        </w:rPr>
        <w:t>Д</w:t>
      </w:r>
      <w:r w:rsidRPr="00A03500">
        <w:rPr>
          <w:rFonts w:ascii="Times New Roman" w:hAnsi="Times New Roman" w:cs="Times New Roman"/>
          <w:sz w:val="24"/>
          <w:szCs w:val="24"/>
        </w:rPr>
        <w:t xml:space="preserve">оля расходов на оплату электроэнергии составляет более 40% от общих затрат на эксплуатацию систем. При том, что в нашей стране потенциал экономии электроэнергии в рассматриваемой сфере благоустройства </w:t>
      </w:r>
      <w:r w:rsidRPr="00A03500">
        <w:rPr>
          <w:rFonts w:ascii="Times New Roman" w:hAnsi="Times New Roman" w:cs="Times New Roman"/>
          <w:sz w:val="24"/>
          <w:szCs w:val="24"/>
        </w:rPr>
        <w:lastRenderedPageBreak/>
        <w:t>муниципального образования составляет более 50%. Столь значительный масштаб заставляет всерьез задуматься о массовом внедрении современных энергосберегающих и энергоэффективных систем в наружном освещении. В связи с этим в многочисленных региональных и муниципальных программах в области модернизации наружного освещения предусматриваются различные мероприятии в области энергосбережения в сетях наружного освещения муниципальных образований. Планы и программы включают различные мероприятия, начиная от замены ртутьсодержащих светильников и ламп накаливания на энергосберегающие с натриевыми или светодиодными лампами, заканчивая внедрением автом</w:t>
      </w:r>
      <w:r w:rsidR="00A03500" w:rsidRPr="00A03500">
        <w:rPr>
          <w:rFonts w:ascii="Times New Roman" w:hAnsi="Times New Roman" w:cs="Times New Roman"/>
          <w:sz w:val="24"/>
          <w:szCs w:val="24"/>
        </w:rPr>
        <w:t xml:space="preserve">атизированных систем управления </w:t>
      </w:r>
      <w:r w:rsidRPr="00A03500">
        <w:rPr>
          <w:rFonts w:ascii="Times New Roman" w:hAnsi="Times New Roman" w:cs="Times New Roman"/>
          <w:sz w:val="24"/>
          <w:szCs w:val="24"/>
        </w:rPr>
        <w:t xml:space="preserve">наружным освещением. </w:t>
      </w:r>
    </w:p>
    <w:p w:rsidR="00A03500" w:rsidRPr="00A03500" w:rsidRDefault="00D2145A" w:rsidP="00A64345">
      <w:pPr>
        <w:spacing w:after="0" w:line="360" w:lineRule="auto"/>
        <w:ind w:firstLine="851"/>
        <w:jc w:val="both"/>
        <w:rPr>
          <w:rFonts w:ascii="Times New Roman" w:hAnsi="Times New Roman" w:cs="Times New Roman"/>
          <w:sz w:val="24"/>
          <w:szCs w:val="24"/>
        </w:rPr>
      </w:pPr>
      <w:r w:rsidRPr="00A03500">
        <w:rPr>
          <w:rFonts w:ascii="Times New Roman" w:hAnsi="Times New Roman" w:cs="Times New Roman"/>
          <w:sz w:val="24"/>
          <w:szCs w:val="24"/>
        </w:rPr>
        <w:t>Однако энергосберегающие технологии стоят не малых финансовых средств и что бы повысить энергосбережение в области наружного освещения до желаемого уровня, нужно решить проблему отсутствия финансирования. Кроме того, модернизация зачастую связана еще и со сложностями эксплуатации более энергоэффективных</w:t>
      </w:r>
      <w:r w:rsidR="00335063">
        <w:rPr>
          <w:rFonts w:ascii="Times New Roman" w:hAnsi="Times New Roman" w:cs="Times New Roman"/>
          <w:sz w:val="24"/>
          <w:szCs w:val="24"/>
        </w:rPr>
        <w:t xml:space="preserve"> систем наружного освещения.</w:t>
      </w:r>
    </w:p>
    <w:p w:rsidR="00335063" w:rsidRDefault="00A03500" w:rsidP="00A64345">
      <w:pPr>
        <w:spacing w:after="0" w:line="360" w:lineRule="auto"/>
        <w:ind w:firstLine="851"/>
        <w:jc w:val="both"/>
        <w:rPr>
          <w:rFonts w:ascii="Times New Roman" w:hAnsi="Times New Roman" w:cs="Times New Roman"/>
          <w:sz w:val="24"/>
          <w:szCs w:val="24"/>
        </w:rPr>
      </w:pPr>
      <w:r w:rsidRPr="00A03500">
        <w:rPr>
          <w:rFonts w:ascii="Times New Roman" w:hAnsi="Times New Roman" w:cs="Times New Roman"/>
          <w:sz w:val="24"/>
          <w:szCs w:val="24"/>
        </w:rPr>
        <w:t xml:space="preserve">По статистике, 20% общего расхода электроэнергии  приходится на освещение. При учете факта непрерывного роста цен на электроэнергию, развитие инновационных технологий для увеличения энергоэффективности уличного освещения становится все более актуальной.  Можно выделить несколько главных проблем в уличном освещении крупных городов:   </w:t>
      </w:r>
    </w:p>
    <w:p w:rsidR="00335063" w:rsidRPr="00A64345" w:rsidRDefault="00A03500" w:rsidP="00A64345">
      <w:pPr>
        <w:pStyle w:val="a4"/>
        <w:numPr>
          <w:ilvl w:val="0"/>
          <w:numId w:val="5"/>
        </w:numPr>
        <w:spacing w:after="0" w:line="360" w:lineRule="auto"/>
        <w:ind w:left="1134" w:hanging="283"/>
        <w:jc w:val="both"/>
        <w:rPr>
          <w:rFonts w:ascii="Times New Roman" w:hAnsi="Times New Roman" w:cs="Times New Roman"/>
          <w:sz w:val="24"/>
          <w:szCs w:val="24"/>
        </w:rPr>
      </w:pPr>
      <w:r w:rsidRPr="00A64345">
        <w:rPr>
          <w:rFonts w:ascii="Times New Roman" w:hAnsi="Times New Roman" w:cs="Times New Roman"/>
          <w:sz w:val="24"/>
          <w:szCs w:val="24"/>
        </w:rPr>
        <w:t xml:space="preserve">Малоэффективные источники света </w:t>
      </w:r>
    </w:p>
    <w:p w:rsidR="00335063" w:rsidRPr="00A64345" w:rsidRDefault="00A03500" w:rsidP="00A64345">
      <w:pPr>
        <w:pStyle w:val="a4"/>
        <w:numPr>
          <w:ilvl w:val="0"/>
          <w:numId w:val="5"/>
        </w:numPr>
        <w:spacing w:after="0" w:line="360" w:lineRule="auto"/>
        <w:ind w:left="1134" w:hanging="283"/>
        <w:jc w:val="both"/>
        <w:rPr>
          <w:rFonts w:ascii="Times New Roman" w:hAnsi="Times New Roman" w:cs="Times New Roman"/>
          <w:sz w:val="24"/>
          <w:szCs w:val="24"/>
        </w:rPr>
      </w:pPr>
      <w:r w:rsidRPr="00A64345">
        <w:rPr>
          <w:rFonts w:ascii="Times New Roman" w:hAnsi="Times New Roman" w:cs="Times New Roman"/>
          <w:sz w:val="24"/>
          <w:szCs w:val="24"/>
        </w:rPr>
        <w:t xml:space="preserve">Непродуктивное размещение осветительных приборов  </w:t>
      </w:r>
    </w:p>
    <w:p w:rsidR="00335063" w:rsidRPr="00A64345" w:rsidRDefault="00A03500" w:rsidP="00A64345">
      <w:pPr>
        <w:pStyle w:val="a4"/>
        <w:numPr>
          <w:ilvl w:val="0"/>
          <w:numId w:val="5"/>
        </w:numPr>
        <w:spacing w:after="0" w:line="360" w:lineRule="auto"/>
        <w:ind w:left="1134" w:hanging="283"/>
        <w:jc w:val="both"/>
        <w:rPr>
          <w:rFonts w:ascii="Times New Roman" w:hAnsi="Times New Roman" w:cs="Times New Roman"/>
          <w:sz w:val="24"/>
          <w:szCs w:val="24"/>
        </w:rPr>
      </w:pPr>
      <w:r w:rsidRPr="00A64345">
        <w:rPr>
          <w:rFonts w:ascii="Times New Roman" w:hAnsi="Times New Roman" w:cs="Times New Roman"/>
          <w:sz w:val="24"/>
          <w:szCs w:val="24"/>
        </w:rPr>
        <w:t xml:space="preserve">Световое загрязнение  </w:t>
      </w:r>
    </w:p>
    <w:p w:rsidR="00A03500" w:rsidRPr="00A03500" w:rsidRDefault="00A03500" w:rsidP="00A64345">
      <w:pPr>
        <w:spacing w:after="0" w:line="360" w:lineRule="auto"/>
        <w:ind w:firstLine="851"/>
        <w:jc w:val="both"/>
        <w:rPr>
          <w:rFonts w:ascii="Times New Roman" w:hAnsi="Times New Roman" w:cs="Times New Roman"/>
          <w:sz w:val="24"/>
          <w:szCs w:val="24"/>
        </w:rPr>
      </w:pPr>
      <w:r w:rsidRPr="00A03500">
        <w:rPr>
          <w:rFonts w:ascii="Times New Roman" w:hAnsi="Times New Roman" w:cs="Times New Roman"/>
          <w:sz w:val="24"/>
          <w:szCs w:val="24"/>
        </w:rPr>
        <w:t xml:space="preserve">К решению данных проблем необходим системный подход, заключающийся в проработке технических и экономических вопросов внедрения новых высокоэффективных источников света, полного и гибкого управления системами освещения.  Главной проблемой является модернизация систем освещения. Наиболее </w:t>
      </w:r>
      <w:proofErr w:type="spellStart"/>
      <w:r w:rsidRPr="00A03500">
        <w:rPr>
          <w:rFonts w:ascii="Times New Roman" w:hAnsi="Times New Roman" w:cs="Times New Roman"/>
          <w:sz w:val="24"/>
          <w:szCs w:val="24"/>
        </w:rPr>
        <w:t>энергоэффективным</w:t>
      </w:r>
      <w:proofErr w:type="spellEnd"/>
      <w:r w:rsidRPr="00A03500">
        <w:rPr>
          <w:rFonts w:ascii="Times New Roman" w:hAnsi="Times New Roman" w:cs="Times New Roman"/>
          <w:sz w:val="24"/>
          <w:szCs w:val="24"/>
        </w:rPr>
        <w:t xml:space="preserve"> решением является внедрение светодиодных источников света</w:t>
      </w:r>
      <w:r w:rsidR="00335063">
        <w:rPr>
          <w:rFonts w:ascii="Times New Roman" w:hAnsi="Times New Roman" w:cs="Times New Roman"/>
          <w:sz w:val="24"/>
          <w:szCs w:val="24"/>
        </w:rPr>
        <w:t xml:space="preserve">, </w:t>
      </w:r>
      <w:r w:rsidR="00335063" w:rsidRPr="00A03500">
        <w:rPr>
          <w:rFonts w:ascii="Times New Roman" w:hAnsi="Times New Roman" w:cs="Times New Roman"/>
          <w:sz w:val="24"/>
          <w:szCs w:val="24"/>
        </w:rPr>
        <w:t xml:space="preserve">использование светильников с электронным пускорегулирующим аппаратом, улучшение автоматизированной системы управления наружным освещением, замена счетчиков электроэнергии на </w:t>
      </w:r>
      <w:proofErr w:type="spellStart"/>
      <w:r w:rsidR="00335063" w:rsidRPr="00A03500">
        <w:rPr>
          <w:rFonts w:ascii="Times New Roman" w:hAnsi="Times New Roman" w:cs="Times New Roman"/>
          <w:sz w:val="24"/>
          <w:szCs w:val="24"/>
        </w:rPr>
        <w:t>двухтарифные</w:t>
      </w:r>
      <w:proofErr w:type="spellEnd"/>
      <w:r w:rsidR="00335063" w:rsidRPr="00A03500">
        <w:rPr>
          <w:rFonts w:ascii="Times New Roman" w:hAnsi="Times New Roman" w:cs="Times New Roman"/>
          <w:sz w:val="24"/>
          <w:szCs w:val="24"/>
        </w:rPr>
        <w:t>, замена устаревших ламп в светильниках уличного освещен</w:t>
      </w:r>
      <w:r w:rsidR="00335063">
        <w:rPr>
          <w:rFonts w:ascii="Times New Roman" w:hAnsi="Times New Roman" w:cs="Times New Roman"/>
          <w:sz w:val="24"/>
          <w:szCs w:val="24"/>
        </w:rPr>
        <w:t>ия в рамках текущего содержания</w:t>
      </w:r>
      <w:r w:rsidRPr="00A03500">
        <w:rPr>
          <w:rFonts w:ascii="Times New Roman" w:hAnsi="Times New Roman" w:cs="Times New Roman"/>
          <w:sz w:val="24"/>
          <w:szCs w:val="24"/>
        </w:rPr>
        <w:t xml:space="preserve">. Решение данной проблемы тормозится стоимостью светодиодных источников, автоматизированных систем, отсутствием методологии и технических решений высокой построения гибких адаптивных систем автоматизированного управления сложными гибридными комплексами наружного </w:t>
      </w:r>
      <w:r w:rsidRPr="00A03500">
        <w:rPr>
          <w:rFonts w:ascii="Times New Roman" w:hAnsi="Times New Roman" w:cs="Times New Roman"/>
          <w:sz w:val="24"/>
          <w:szCs w:val="24"/>
        </w:rPr>
        <w:lastRenderedPageBreak/>
        <w:t xml:space="preserve">освещения.  Большая роль в освещении отводится на оптимальное размещение уличных светильников. Поддержка необходимого уровня освещённости всей улицы способствует: </w:t>
      </w:r>
    </w:p>
    <w:p w:rsidR="00A03500" w:rsidRPr="00A64345" w:rsidRDefault="00A03500" w:rsidP="00A64345">
      <w:pPr>
        <w:pStyle w:val="a4"/>
        <w:numPr>
          <w:ilvl w:val="0"/>
          <w:numId w:val="9"/>
        </w:numPr>
        <w:spacing w:after="0" w:line="360" w:lineRule="auto"/>
        <w:ind w:left="0" w:firstLine="993"/>
        <w:jc w:val="both"/>
        <w:rPr>
          <w:rFonts w:ascii="Times New Roman" w:hAnsi="Times New Roman" w:cs="Times New Roman"/>
          <w:sz w:val="24"/>
          <w:szCs w:val="24"/>
        </w:rPr>
      </w:pPr>
      <w:r w:rsidRPr="00A64345">
        <w:rPr>
          <w:rFonts w:ascii="Times New Roman" w:hAnsi="Times New Roman" w:cs="Times New Roman"/>
          <w:sz w:val="24"/>
          <w:szCs w:val="24"/>
        </w:rPr>
        <w:t>улучшение управления ночным освещением города и ночным движением транс</w:t>
      </w:r>
      <w:r w:rsidR="00A64345">
        <w:rPr>
          <w:rFonts w:ascii="Times New Roman" w:hAnsi="Times New Roman" w:cs="Times New Roman"/>
          <w:sz w:val="24"/>
          <w:szCs w:val="24"/>
        </w:rPr>
        <w:t>порта;</w:t>
      </w:r>
    </w:p>
    <w:p w:rsidR="00335063" w:rsidRPr="00A64345" w:rsidRDefault="00A03500" w:rsidP="00A64345">
      <w:pPr>
        <w:pStyle w:val="a4"/>
        <w:numPr>
          <w:ilvl w:val="0"/>
          <w:numId w:val="9"/>
        </w:numPr>
        <w:spacing w:after="0" w:line="360" w:lineRule="auto"/>
        <w:ind w:left="0" w:firstLine="993"/>
        <w:jc w:val="both"/>
        <w:rPr>
          <w:rFonts w:ascii="Times New Roman" w:hAnsi="Times New Roman" w:cs="Times New Roman"/>
          <w:sz w:val="24"/>
          <w:szCs w:val="24"/>
        </w:rPr>
      </w:pPr>
      <w:r w:rsidRPr="00A64345">
        <w:rPr>
          <w:rFonts w:ascii="Times New Roman" w:hAnsi="Times New Roman" w:cs="Times New Roman"/>
          <w:sz w:val="24"/>
          <w:szCs w:val="24"/>
        </w:rPr>
        <w:t>повышение безопасности пешеходов на улицах</w:t>
      </w:r>
      <w:r w:rsidR="00A64345" w:rsidRPr="00A64345">
        <w:rPr>
          <w:rFonts w:ascii="Times New Roman" w:hAnsi="Times New Roman" w:cs="Times New Roman"/>
          <w:sz w:val="24"/>
          <w:szCs w:val="24"/>
        </w:rPr>
        <w:t>;</w:t>
      </w:r>
      <w:r w:rsidRPr="00A64345">
        <w:rPr>
          <w:rFonts w:ascii="Times New Roman" w:hAnsi="Times New Roman" w:cs="Times New Roman"/>
          <w:sz w:val="24"/>
          <w:szCs w:val="24"/>
        </w:rPr>
        <w:t xml:space="preserve"> </w:t>
      </w:r>
    </w:p>
    <w:p w:rsidR="00335063" w:rsidRPr="00A64345" w:rsidRDefault="00A03500" w:rsidP="00A64345">
      <w:pPr>
        <w:pStyle w:val="a4"/>
        <w:numPr>
          <w:ilvl w:val="0"/>
          <w:numId w:val="9"/>
        </w:numPr>
        <w:spacing w:after="0" w:line="360" w:lineRule="auto"/>
        <w:ind w:left="0" w:firstLine="993"/>
        <w:jc w:val="both"/>
        <w:rPr>
          <w:rFonts w:ascii="Times New Roman" w:hAnsi="Times New Roman" w:cs="Times New Roman"/>
          <w:sz w:val="24"/>
          <w:szCs w:val="24"/>
        </w:rPr>
      </w:pPr>
      <w:r w:rsidRPr="00A64345">
        <w:rPr>
          <w:rFonts w:ascii="Times New Roman" w:hAnsi="Times New Roman" w:cs="Times New Roman"/>
          <w:sz w:val="24"/>
          <w:szCs w:val="24"/>
        </w:rPr>
        <w:t>снижение преступности и стр</w:t>
      </w:r>
      <w:r w:rsidR="00A64345" w:rsidRPr="00A64345">
        <w:rPr>
          <w:rFonts w:ascii="Times New Roman" w:hAnsi="Times New Roman" w:cs="Times New Roman"/>
          <w:sz w:val="24"/>
          <w:szCs w:val="24"/>
        </w:rPr>
        <w:t>аха преступности в ночное время;</w:t>
      </w:r>
    </w:p>
    <w:p w:rsidR="00335063" w:rsidRPr="00A64345" w:rsidRDefault="00A03500" w:rsidP="00A64345">
      <w:pPr>
        <w:pStyle w:val="a4"/>
        <w:numPr>
          <w:ilvl w:val="0"/>
          <w:numId w:val="9"/>
        </w:numPr>
        <w:spacing w:after="0" w:line="360" w:lineRule="auto"/>
        <w:ind w:left="0" w:firstLine="993"/>
        <w:jc w:val="both"/>
        <w:rPr>
          <w:rFonts w:ascii="Times New Roman" w:hAnsi="Times New Roman" w:cs="Times New Roman"/>
          <w:sz w:val="24"/>
          <w:szCs w:val="24"/>
        </w:rPr>
      </w:pPr>
      <w:r w:rsidRPr="00A64345">
        <w:rPr>
          <w:rFonts w:ascii="Times New Roman" w:hAnsi="Times New Roman" w:cs="Times New Roman"/>
          <w:sz w:val="24"/>
          <w:szCs w:val="24"/>
        </w:rPr>
        <w:t>пов</w:t>
      </w:r>
      <w:r w:rsidR="00A64345" w:rsidRPr="00A64345">
        <w:rPr>
          <w:rFonts w:ascii="Times New Roman" w:hAnsi="Times New Roman" w:cs="Times New Roman"/>
          <w:sz w:val="24"/>
          <w:szCs w:val="24"/>
        </w:rPr>
        <w:t>ышение привлекательности города;</w:t>
      </w:r>
    </w:p>
    <w:p w:rsidR="00A03500" w:rsidRPr="00A64345" w:rsidRDefault="00A03500" w:rsidP="00A64345">
      <w:pPr>
        <w:pStyle w:val="a4"/>
        <w:numPr>
          <w:ilvl w:val="0"/>
          <w:numId w:val="9"/>
        </w:numPr>
        <w:spacing w:after="0" w:line="360" w:lineRule="auto"/>
        <w:ind w:left="0" w:firstLine="993"/>
        <w:jc w:val="both"/>
        <w:rPr>
          <w:rFonts w:ascii="Times New Roman" w:hAnsi="Times New Roman" w:cs="Times New Roman"/>
          <w:sz w:val="24"/>
          <w:szCs w:val="24"/>
        </w:rPr>
      </w:pPr>
      <w:r w:rsidRPr="00A64345">
        <w:rPr>
          <w:rFonts w:ascii="Times New Roman" w:hAnsi="Times New Roman" w:cs="Times New Roman"/>
          <w:sz w:val="24"/>
          <w:szCs w:val="24"/>
        </w:rPr>
        <w:t>повышение престижа города</w:t>
      </w:r>
      <w:r w:rsidR="00A64345" w:rsidRPr="00A64345">
        <w:rPr>
          <w:rFonts w:ascii="Times New Roman" w:hAnsi="Times New Roman" w:cs="Times New Roman"/>
          <w:sz w:val="24"/>
          <w:szCs w:val="24"/>
        </w:rPr>
        <w:t>.</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Экономия электроэнергии может быть достигнута совершенствованием следующих средств освещения:</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расширением производства эффективных источников света и области их применения возможно получить экономию электроэнергии минимум;</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увеличением световой отдачи источников света;</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повышением стабильности характеристик источников света;</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повышением КПД осветительных приборов;</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улучшением эксплуатационных свойс</w:t>
      </w:r>
      <w:r w:rsidR="00A64345" w:rsidRPr="00A64345">
        <w:rPr>
          <w:rFonts w:ascii="Times New Roman" w:eastAsia="Times New Roman" w:hAnsi="Times New Roman" w:cs="Times New Roman"/>
          <w:sz w:val="24"/>
          <w:szCs w:val="24"/>
          <w:lang w:eastAsia="ru-RU"/>
        </w:rPr>
        <w:t>тв осветительных приборов</w:t>
      </w:r>
      <w:r w:rsidRPr="00A64345">
        <w:rPr>
          <w:rFonts w:ascii="Times New Roman" w:eastAsia="Times New Roman" w:hAnsi="Times New Roman" w:cs="Times New Roman"/>
          <w:sz w:val="24"/>
          <w:szCs w:val="24"/>
          <w:lang w:eastAsia="ru-RU"/>
        </w:rPr>
        <w:t>;</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снижением энергопотребления осветительных приборов, в частности благодаря использованию электронной пускорегулирующей арматуры (ЭПРА).</w:t>
      </w:r>
    </w:p>
    <w:p w:rsidR="00FA32FB" w:rsidRPr="00FA32FB" w:rsidRDefault="00FA32FB" w:rsidP="00A64345">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FA32FB">
        <w:rPr>
          <w:rFonts w:ascii="Times New Roman" w:eastAsia="Times New Roman" w:hAnsi="Times New Roman" w:cs="Times New Roman"/>
          <w:sz w:val="24"/>
          <w:szCs w:val="24"/>
          <w:lang w:eastAsia="ru-RU"/>
        </w:rPr>
        <w:t>Во всем мире, в частности, в странах, которые входят в Международное энергетическое агентство (МЭА), к основным энергосберегающим действиям в области освещения можно отнести:</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использование компактных люминесцентных ламп (КЛЛ);</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установка электронных пускорегулирующих устройств (ЭПРА);</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применение прямых тонких люминесцентных ламп типа Т5 (16 мм);</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широкое использование систем автоматического регулирования освещения в зависимости от внешних факторов;</w:t>
      </w:r>
    </w:p>
    <w:p w:rsidR="00FA32FB" w:rsidRPr="00A64345" w:rsidRDefault="00FA32FB" w:rsidP="00A64345">
      <w:pPr>
        <w:pStyle w:val="a4"/>
        <w:numPr>
          <w:ilvl w:val="1"/>
          <w:numId w:val="8"/>
        </w:numPr>
        <w:shd w:val="clear" w:color="auto" w:fill="FFFFFF"/>
        <w:spacing w:after="0" w:line="360" w:lineRule="auto"/>
        <w:ind w:left="0" w:firstLine="993"/>
        <w:jc w:val="both"/>
        <w:rPr>
          <w:rFonts w:ascii="Times New Roman" w:eastAsia="Times New Roman" w:hAnsi="Times New Roman" w:cs="Times New Roman"/>
          <w:sz w:val="24"/>
          <w:szCs w:val="24"/>
          <w:lang w:eastAsia="ru-RU"/>
        </w:rPr>
      </w:pPr>
      <w:r w:rsidRPr="00A64345">
        <w:rPr>
          <w:rFonts w:ascii="Times New Roman" w:eastAsia="Times New Roman" w:hAnsi="Times New Roman" w:cs="Times New Roman"/>
          <w:sz w:val="24"/>
          <w:szCs w:val="24"/>
          <w:lang w:eastAsia="ru-RU"/>
        </w:rPr>
        <w:t>использование комбинированных осветительных приборов, использующих для питания солнечную энергию.</w:t>
      </w:r>
    </w:p>
    <w:p w:rsidR="00FA32FB" w:rsidRPr="00FA32FB" w:rsidRDefault="00FA32FB" w:rsidP="00A64345">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FA32FB">
        <w:rPr>
          <w:rFonts w:ascii="Times New Roman" w:eastAsia="Times New Roman" w:hAnsi="Times New Roman" w:cs="Times New Roman"/>
          <w:sz w:val="24"/>
          <w:szCs w:val="24"/>
          <w:lang w:eastAsia="ru-RU"/>
        </w:rPr>
        <w:t xml:space="preserve">Поставки </w:t>
      </w:r>
      <w:proofErr w:type="spellStart"/>
      <w:r w:rsidRPr="00FA32FB">
        <w:rPr>
          <w:rFonts w:ascii="Times New Roman" w:eastAsia="Times New Roman" w:hAnsi="Times New Roman" w:cs="Times New Roman"/>
          <w:sz w:val="24"/>
          <w:szCs w:val="24"/>
          <w:lang w:eastAsia="ru-RU"/>
        </w:rPr>
        <w:t>энергоэффективного</w:t>
      </w:r>
      <w:proofErr w:type="spellEnd"/>
      <w:r w:rsidRPr="00FA32FB">
        <w:rPr>
          <w:rFonts w:ascii="Times New Roman" w:eastAsia="Times New Roman" w:hAnsi="Times New Roman" w:cs="Times New Roman"/>
          <w:sz w:val="24"/>
          <w:szCs w:val="24"/>
          <w:lang w:eastAsia="ru-RU"/>
        </w:rPr>
        <w:t xml:space="preserve"> светотехнического оборудования в настоящее время в России малы. Хотя все это оборудование, в принципе, в наличии имеется, наиболее эффективное оборудование российского производства практически отсутствует, а объем внешних поставок этого оборудования окажется недостаточным в случае существенного увеличения потребности в нем.</w:t>
      </w:r>
    </w:p>
    <w:p w:rsidR="00FA32FB" w:rsidRPr="00FA32FB" w:rsidRDefault="00FA32FB" w:rsidP="00A64345">
      <w:pPr>
        <w:shd w:val="clear" w:color="auto" w:fill="FFFFFF"/>
        <w:spacing w:after="0" w:line="360" w:lineRule="auto"/>
        <w:ind w:firstLine="567"/>
        <w:rPr>
          <w:rFonts w:ascii="Times New Roman" w:eastAsia="Times New Roman" w:hAnsi="Times New Roman" w:cs="Times New Roman"/>
          <w:sz w:val="24"/>
          <w:szCs w:val="24"/>
          <w:lang w:eastAsia="ru-RU"/>
        </w:rPr>
      </w:pPr>
    </w:p>
    <w:p w:rsidR="00FA32FB" w:rsidRPr="00FA32FB" w:rsidRDefault="00FA32FB" w:rsidP="00A643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A32FB">
        <w:rPr>
          <w:rFonts w:ascii="Times New Roman" w:eastAsia="Times New Roman" w:hAnsi="Times New Roman" w:cs="Times New Roman"/>
          <w:sz w:val="24"/>
          <w:szCs w:val="24"/>
          <w:lang w:eastAsia="ru-RU"/>
        </w:rPr>
        <w:lastRenderedPageBreak/>
        <w:t>В данный момент, общий объем светотехнического рынка, включая импортные товары, составляет примерно 2 млрд долл. США в год и, скорее всего, будет продолжать расти.</w:t>
      </w:r>
    </w:p>
    <w:p w:rsidR="00FA32FB" w:rsidRPr="00FA32FB" w:rsidRDefault="00FA32FB" w:rsidP="00A643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A32FB">
        <w:rPr>
          <w:rFonts w:ascii="Times New Roman" w:eastAsia="Times New Roman" w:hAnsi="Times New Roman" w:cs="Times New Roman"/>
          <w:sz w:val="24"/>
          <w:szCs w:val="24"/>
          <w:lang w:eastAsia="ru-RU"/>
        </w:rPr>
        <w:t>Отечественная продукция удовлетворяет примерно 50% общей потребности в светотехнических изделиях (источниках света, светильниках, источниках питания, комплектующих и т.д.). Большую часть российской продукции составляют неэффективные устаревшие изделия, такие как лампы накаливания, люминесцентные лампы первого и второго поколений (Т12, Т8), электромагнитные ПРА и т.д.</w:t>
      </w:r>
    </w:p>
    <w:p w:rsidR="00FA32FB" w:rsidRPr="00FA32FB" w:rsidRDefault="00FA32FB" w:rsidP="00A643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A32FB">
        <w:rPr>
          <w:rFonts w:ascii="Times New Roman" w:eastAsia="Times New Roman" w:hAnsi="Times New Roman" w:cs="Times New Roman"/>
          <w:sz w:val="24"/>
          <w:szCs w:val="24"/>
          <w:lang w:eastAsia="ru-RU"/>
        </w:rPr>
        <w:t>Качество и эффективность многих импортных изделий также не соответствуют лучшим международным стандартам. Высококачественное оборудование для систем освещения слишком дорого для российского рынка и конкретно для конечных потребителей.</w:t>
      </w:r>
    </w:p>
    <w:p w:rsidR="00A03500" w:rsidRDefault="00FA32FB" w:rsidP="00A643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A32FB">
        <w:rPr>
          <w:rFonts w:ascii="Times New Roman" w:eastAsia="Times New Roman" w:hAnsi="Times New Roman" w:cs="Times New Roman"/>
          <w:sz w:val="24"/>
          <w:szCs w:val="24"/>
          <w:lang w:eastAsia="ru-RU"/>
        </w:rPr>
        <w:t>Отсутствие технического контроля и контроля качества импортных товаров привело к наплыву на российский рынок светотехнических изделий сомнительного качества, поступающих как на легальный рынок, так и на обширный черный рынок. Однако на рынке светотехнической продукции наблюдаются некоторые позитивные изменения. Например, на российском рынке, все шире представлены мировые лидеры в области разработки и производства электрических ламп (</w:t>
      </w:r>
      <w:proofErr w:type="spellStart"/>
      <w:r w:rsidRPr="00FA32FB">
        <w:rPr>
          <w:rFonts w:ascii="Times New Roman" w:eastAsia="Times New Roman" w:hAnsi="Times New Roman" w:cs="Times New Roman"/>
          <w:sz w:val="24"/>
          <w:szCs w:val="24"/>
          <w:lang w:eastAsia="ru-RU"/>
        </w:rPr>
        <w:t>Осрам</w:t>
      </w:r>
      <w:proofErr w:type="spellEnd"/>
      <w:r w:rsidRPr="00FA32FB">
        <w:rPr>
          <w:rFonts w:ascii="Times New Roman" w:eastAsia="Times New Roman" w:hAnsi="Times New Roman" w:cs="Times New Roman"/>
          <w:sz w:val="24"/>
          <w:szCs w:val="24"/>
          <w:lang w:eastAsia="ru-RU"/>
        </w:rPr>
        <w:t>, Филипс, Дженерал электрик и некоторые другие).</w:t>
      </w:r>
    </w:p>
    <w:p w:rsidR="00FA32FB" w:rsidRPr="00FA32FB" w:rsidRDefault="00FA32FB" w:rsidP="00CE4CF5">
      <w:pPr>
        <w:shd w:val="clear" w:color="auto" w:fill="FFFFFF"/>
        <w:spacing w:after="0" w:line="360" w:lineRule="auto"/>
        <w:rPr>
          <w:rFonts w:ascii="Times New Roman" w:eastAsia="Times New Roman" w:hAnsi="Times New Roman" w:cs="Times New Roman"/>
          <w:sz w:val="24"/>
          <w:szCs w:val="24"/>
          <w:lang w:eastAsia="ru-RU"/>
        </w:rPr>
      </w:pPr>
    </w:p>
    <w:p w:rsidR="005B69CF" w:rsidRPr="00CE4CF5" w:rsidRDefault="005B69CF" w:rsidP="00A03500">
      <w:pPr>
        <w:spacing w:after="0" w:line="360" w:lineRule="auto"/>
        <w:ind w:firstLine="709"/>
        <w:jc w:val="center"/>
        <w:rPr>
          <w:rFonts w:ascii="Times New Roman" w:hAnsi="Times New Roman" w:cs="Times New Roman"/>
          <w:b/>
          <w:i/>
          <w:sz w:val="24"/>
          <w:szCs w:val="24"/>
        </w:rPr>
      </w:pPr>
      <w:r w:rsidRPr="00CE4CF5">
        <w:rPr>
          <w:rFonts w:ascii="Times New Roman" w:hAnsi="Times New Roman" w:cs="Times New Roman"/>
          <w:b/>
          <w:i/>
          <w:sz w:val="24"/>
          <w:szCs w:val="24"/>
        </w:rPr>
        <w:t>Литература</w:t>
      </w:r>
    </w:p>
    <w:p w:rsidR="005B69CF" w:rsidRPr="00A03500" w:rsidRDefault="005B69CF" w:rsidP="00A03500">
      <w:pPr>
        <w:spacing w:after="0" w:line="360" w:lineRule="auto"/>
        <w:ind w:firstLine="709"/>
        <w:rPr>
          <w:rFonts w:ascii="Times New Roman" w:hAnsi="Times New Roman" w:cs="Times New Roman"/>
          <w:sz w:val="24"/>
          <w:szCs w:val="24"/>
        </w:rPr>
      </w:pPr>
      <w:r w:rsidRPr="00A03500">
        <w:rPr>
          <w:rFonts w:ascii="Times New Roman" w:hAnsi="Times New Roman" w:cs="Times New Roman"/>
          <w:noProof/>
          <w:sz w:val="24"/>
          <w:szCs w:val="24"/>
        </w:rPr>
        <w:t>1. Об эн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ер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госбер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ежен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ии и о повышен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ии эн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ер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гетической эффективн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ости и о вн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есен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ии измен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ен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ий в отдельн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ые закон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одательн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ые акты 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оссийской Федер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ации [Электр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он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ый 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есур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с]: Федер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альн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ый закон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 xml:space="preserve"> от 23.11.2009. №261-ФЗ. – URL: </w:t>
      </w:r>
      <w:hyperlink r:id="rId5" w:history="1">
        <w:r w:rsidRPr="00A03500">
          <w:rPr>
            <w:rStyle w:val="a3"/>
            <w:rFonts w:ascii="Times New Roman" w:hAnsi="Times New Roman" w:cs="Times New Roman"/>
            <w:sz w:val="24"/>
            <w:szCs w:val="24"/>
          </w:rPr>
          <w:t>http://www.rg.ru/2009/11/27/energo-dok.html</w:t>
        </w:r>
      </w:hyperlink>
      <w:r w:rsidRPr="00A03500">
        <w:rPr>
          <w:rFonts w:ascii="Times New Roman" w:hAnsi="Times New Roman" w:cs="Times New Roman"/>
          <w:sz w:val="24"/>
          <w:szCs w:val="24"/>
        </w:rPr>
        <w:t xml:space="preserve">. </w:t>
      </w:r>
    </w:p>
    <w:p w:rsidR="00FA32FB" w:rsidRPr="00A03500" w:rsidRDefault="005B69CF" w:rsidP="00FA32FB">
      <w:pPr>
        <w:spacing w:after="0" w:line="360" w:lineRule="auto"/>
        <w:ind w:firstLine="709"/>
        <w:rPr>
          <w:rFonts w:ascii="Times New Roman" w:hAnsi="Times New Roman" w:cs="Times New Roman"/>
          <w:sz w:val="24"/>
          <w:szCs w:val="24"/>
        </w:rPr>
      </w:pPr>
      <w:r w:rsidRPr="00A03500">
        <w:rPr>
          <w:rFonts w:ascii="Times New Roman" w:hAnsi="Times New Roman" w:cs="Times New Roman"/>
          <w:noProof/>
          <w:sz w:val="24"/>
          <w:szCs w:val="24"/>
        </w:rPr>
        <w:t>2. Об освещен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ии улиц гор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ода (Пр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огр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амма «Свет») [Электр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он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ый 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есур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с]: 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ешен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 xml:space="preserve">ие </w:t>
      </w:r>
      <w:r w:rsidRPr="00A03500">
        <w:rPr>
          <w:rFonts w:ascii="Times New Roman" w:hAnsi="Times New Roman" w:cs="Times New Roman"/>
          <w:sz w:val="24"/>
          <w:szCs w:val="24"/>
        </w:rPr>
        <w:t>Орловской</w:t>
      </w:r>
      <w:r w:rsidRPr="00A03500">
        <w:rPr>
          <w:rFonts w:ascii="Times New Roman" w:hAnsi="Times New Roman" w:cs="Times New Roman"/>
          <w:noProof/>
          <w:sz w:val="24"/>
          <w:szCs w:val="24"/>
        </w:rPr>
        <w:t xml:space="preserve"> гор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 xml:space="preserve">одской Думы от 08.06.2008 г. № 4-9// </w:t>
      </w:r>
      <w:proofErr w:type="spellStart"/>
      <w:r w:rsidRPr="00A03500">
        <w:rPr>
          <w:rFonts w:ascii="Times New Roman" w:hAnsi="Times New Roman" w:cs="Times New Roman"/>
          <w:sz w:val="24"/>
          <w:szCs w:val="24"/>
        </w:rPr>
        <w:t>Информационноправовой</w:t>
      </w:r>
      <w:proofErr w:type="spellEnd"/>
      <w:r w:rsidRPr="00A03500">
        <w:rPr>
          <w:rFonts w:ascii="Times New Roman" w:hAnsi="Times New Roman" w:cs="Times New Roman"/>
          <w:noProof/>
          <w:sz w:val="24"/>
          <w:szCs w:val="24"/>
        </w:rPr>
        <w:t xml:space="preserve"> пор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тал «Гар</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ан</w:t>
      </w:r>
      <w:r w:rsidRPr="00A03500">
        <w:rPr>
          <w:rFonts w:ascii="Times New Roman" w:hAnsi="Times New Roman" w:cs="Times New Roman"/>
          <w:noProof/>
          <w:spacing w:val="-60"/>
          <w:sz w:val="24"/>
          <w:szCs w:val="24"/>
        </w:rPr>
        <w:t> </w:t>
      </w:r>
      <w:r w:rsidRPr="00A03500">
        <w:rPr>
          <w:rFonts w:ascii="Times New Roman" w:hAnsi="Times New Roman" w:cs="Times New Roman"/>
          <w:noProof/>
          <w:sz w:val="24"/>
          <w:szCs w:val="24"/>
        </w:rPr>
        <w:t xml:space="preserve">т». – URL: </w:t>
      </w:r>
      <w:hyperlink r:id="rId6" w:history="1">
        <w:r w:rsidRPr="00A03500">
          <w:rPr>
            <w:rStyle w:val="a3"/>
            <w:rFonts w:ascii="Times New Roman" w:hAnsi="Times New Roman" w:cs="Times New Roman"/>
            <w:sz w:val="24"/>
            <w:szCs w:val="24"/>
          </w:rPr>
          <w:t>http://www.garant.ru</w:t>
        </w:r>
      </w:hyperlink>
      <w:r w:rsidRPr="00A03500">
        <w:rPr>
          <w:rFonts w:ascii="Times New Roman" w:hAnsi="Times New Roman" w:cs="Times New Roman"/>
          <w:sz w:val="24"/>
          <w:szCs w:val="24"/>
        </w:rPr>
        <w:t xml:space="preserve">. </w:t>
      </w:r>
    </w:p>
    <w:p w:rsidR="005B69CF" w:rsidRDefault="00FA32FB" w:rsidP="00A03500">
      <w:pPr>
        <w:spacing w:after="0" w:line="360" w:lineRule="auto"/>
        <w:ind w:firstLine="709"/>
        <w:rPr>
          <w:rFonts w:ascii="Times New Roman" w:hAnsi="Times New Roman" w:cs="Times New Roman"/>
          <w:sz w:val="24"/>
          <w:szCs w:val="24"/>
        </w:rPr>
      </w:pPr>
      <w:r>
        <w:rPr>
          <w:rFonts w:ascii="Times New Roman" w:hAnsi="Times New Roman" w:cs="Times New Roman"/>
          <w:noProof/>
          <w:sz w:val="24"/>
          <w:szCs w:val="24"/>
        </w:rPr>
        <w:t>3</w:t>
      </w:r>
      <w:r w:rsidR="005B69CF" w:rsidRPr="00A03500">
        <w:rPr>
          <w:rFonts w:ascii="Times New Roman" w:hAnsi="Times New Roman" w:cs="Times New Roman"/>
          <w:noProof/>
          <w:sz w:val="24"/>
          <w:szCs w:val="24"/>
        </w:rPr>
        <w:t>. Митр</w:t>
      </w:r>
      <w:r w:rsidR="005B69CF" w:rsidRPr="00A03500">
        <w:rPr>
          <w:rFonts w:ascii="Times New Roman" w:hAnsi="Times New Roman" w:cs="Times New Roman"/>
          <w:noProof/>
          <w:spacing w:val="-60"/>
          <w:sz w:val="24"/>
          <w:szCs w:val="24"/>
        </w:rPr>
        <w:t> </w:t>
      </w:r>
      <w:r w:rsidR="005B69CF" w:rsidRPr="00A03500">
        <w:rPr>
          <w:rFonts w:ascii="Times New Roman" w:hAnsi="Times New Roman" w:cs="Times New Roman"/>
          <w:noProof/>
          <w:sz w:val="24"/>
          <w:szCs w:val="24"/>
        </w:rPr>
        <w:t>охин</w:t>
      </w:r>
      <w:r w:rsidR="005B69CF" w:rsidRPr="00A03500">
        <w:rPr>
          <w:rFonts w:ascii="Times New Roman" w:hAnsi="Times New Roman" w:cs="Times New Roman"/>
          <w:noProof/>
          <w:spacing w:val="-60"/>
          <w:sz w:val="24"/>
          <w:szCs w:val="24"/>
        </w:rPr>
        <w:t> </w:t>
      </w:r>
      <w:r w:rsidR="005B69CF" w:rsidRPr="00A03500">
        <w:rPr>
          <w:rFonts w:ascii="Times New Roman" w:hAnsi="Times New Roman" w:cs="Times New Roman"/>
          <w:noProof/>
          <w:sz w:val="24"/>
          <w:szCs w:val="24"/>
        </w:rPr>
        <w:t xml:space="preserve"> В.В. Р</w:t>
      </w:r>
      <w:r w:rsidR="005B69CF" w:rsidRPr="00A03500">
        <w:rPr>
          <w:rFonts w:ascii="Times New Roman" w:hAnsi="Times New Roman" w:cs="Times New Roman"/>
          <w:noProof/>
          <w:spacing w:val="-60"/>
          <w:sz w:val="24"/>
          <w:szCs w:val="24"/>
        </w:rPr>
        <w:t> </w:t>
      </w:r>
      <w:r w:rsidR="005B69CF" w:rsidRPr="00A03500">
        <w:rPr>
          <w:rFonts w:ascii="Times New Roman" w:hAnsi="Times New Roman" w:cs="Times New Roman"/>
          <w:noProof/>
          <w:sz w:val="24"/>
          <w:szCs w:val="24"/>
        </w:rPr>
        <w:t>азвитие р</w:t>
      </w:r>
      <w:r w:rsidR="005B69CF" w:rsidRPr="00A03500">
        <w:rPr>
          <w:rFonts w:ascii="Times New Roman" w:hAnsi="Times New Roman" w:cs="Times New Roman"/>
          <w:noProof/>
          <w:spacing w:val="-60"/>
          <w:sz w:val="24"/>
          <w:szCs w:val="24"/>
        </w:rPr>
        <w:t> </w:t>
      </w:r>
      <w:r w:rsidR="005B69CF" w:rsidRPr="00A03500">
        <w:rPr>
          <w:rFonts w:ascii="Times New Roman" w:hAnsi="Times New Roman" w:cs="Times New Roman"/>
          <w:noProof/>
          <w:sz w:val="24"/>
          <w:szCs w:val="24"/>
        </w:rPr>
        <w:t>ын</w:t>
      </w:r>
      <w:r w:rsidR="005B69CF" w:rsidRPr="00A03500">
        <w:rPr>
          <w:rFonts w:ascii="Times New Roman" w:hAnsi="Times New Roman" w:cs="Times New Roman"/>
          <w:noProof/>
          <w:spacing w:val="-60"/>
          <w:sz w:val="24"/>
          <w:szCs w:val="24"/>
        </w:rPr>
        <w:t> </w:t>
      </w:r>
      <w:r w:rsidR="005B69CF" w:rsidRPr="00A03500">
        <w:rPr>
          <w:rFonts w:ascii="Times New Roman" w:hAnsi="Times New Roman" w:cs="Times New Roman"/>
          <w:noProof/>
          <w:sz w:val="24"/>
          <w:szCs w:val="24"/>
        </w:rPr>
        <w:t xml:space="preserve">ка </w:t>
      </w:r>
      <w:proofErr w:type="spellStart"/>
      <w:r w:rsidR="005B69CF" w:rsidRPr="00A03500">
        <w:rPr>
          <w:rFonts w:ascii="Times New Roman" w:hAnsi="Times New Roman" w:cs="Times New Roman"/>
          <w:sz w:val="24"/>
          <w:szCs w:val="24"/>
        </w:rPr>
        <w:t>энергосервисных</w:t>
      </w:r>
      <w:proofErr w:type="spellEnd"/>
      <w:r w:rsidR="005B69CF" w:rsidRPr="00A03500">
        <w:rPr>
          <w:rFonts w:ascii="Times New Roman" w:hAnsi="Times New Roman" w:cs="Times New Roman"/>
          <w:sz w:val="24"/>
          <w:szCs w:val="24"/>
        </w:rPr>
        <w:t xml:space="preserve"> компаний в России/ В.В. Митрохин, О.В. Ульянкин// Современные проблемы науки и образования. – 2013. – №4.</w:t>
      </w:r>
    </w:p>
    <w:p w:rsidR="00A76C41" w:rsidRDefault="00A76C41" w:rsidP="00A03500">
      <w:pPr>
        <w:spacing w:after="0" w:line="360" w:lineRule="auto"/>
        <w:ind w:firstLine="709"/>
        <w:rPr>
          <w:rFonts w:ascii="Times New Roman" w:hAnsi="Times New Roman" w:cs="Times New Roman"/>
          <w:sz w:val="24"/>
          <w:szCs w:val="24"/>
        </w:rPr>
      </w:pPr>
    </w:p>
    <w:p w:rsidR="00A76C41" w:rsidRDefault="00A76C41" w:rsidP="00A03500">
      <w:pPr>
        <w:spacing w:after="0" w:line="360" w:lineRule="auto"/>
        <w:ind w:firstLine="709"/>
        <w:rPr>
          <w:rFonts w:ascii="Times New Roman" w:hAnsi="Times New Roman" w:cs="Times New Roman"/>
          <w:sz w:val="24"/>
          <w:szCs w:val="24"/>
        </w:rPr>
      </w:pPr>
    </w:p>
    <w:p w:rsidR="00A76C41" w:rsidRPr="00A64345" w:rsidRDefault="00A76C41" w:rsidP="00A76C41">
      <w:pPr>
        <w:spacing w:after="0" w:line="360" w:lineRule="auto"/>
        <w:ind w:firstLine="709"/>
        <w:jc w:val="center"/>
        <w:rPr>
          <w:rFonts w:ascii="Times New Roman" w:hAnsi="Times New Roman" w:cs="Times New Roman"/>
          <w:sz w:val="24"/>
          <w:szCs w:val="24"/>
          <w:lang w:val="en-US"/>
        </w:rPr>
      </w:pPr>
      <w:r w:rsidRPr="00A76C41">
        <w:rPr>
          <w:rFonts w:ascii="Times New Roman" w:hAnsi="Times New Roman" w:cs="Times New Roman"/>
          <w:sz w:val="24"/>
          <w:szCs w:val="24"/>
          <w:lang w:val="en-US"/>
        </w:rPr>
        <w:t>ENERGY EFFICIENCY AND ENERGY SAVING IN THE ORGANIZATION OF URBAN LIGHTING</w:t>
      </w:r>
    </w:p>
    <w:p w:rsidR="00A76C41" w:rsidRPr="00A64345" w:rsidRDefault="00A76C41" w:rsidP="00A76C41">
      <w:pPr>
        <w:spacing w:after="0" w:line="360" w:lineRule="auto"/>
        <w:ind w:firstLine="709"/>
        <w:jc w:val="center"/>
        <w:rPr>
          <w:rFonts w:ascii="Times New Roman" w:hAnsi="Times New Roman" w:cs="Times New Roman"/>
          <w:sz w:val="24"/>
          <w:szCs w:val="24"/>
          <w:lang w:val="en-US"/>
        </w:rPr>
      </w:pPr>
      <w:r w:rsidRPr="00A76C41">
        <w:rPr>
          <w:rFonts w:ascii="Times New Roman" w:hAnsi="Times New Roman" w:cs="Times New Roman"/>
          <w:sz w:val="24"/>
          <w:szCs w:val="24"/>
          <w:lang w:val="en-US"/>
        </w:rPr>
        <w:t>S. A. V</w:t>
      </w:r>
      <w:r>
        <w:rPr>
          <w:rFonts w:ascii="Times New Roman" w:hAnsi="Times New Roman" w:cs="Times New Roman"/>
          <w:sz w:val="24"/>
          <w:szCs w:val="24"/>
          <w:lang w:val="en-US"/>
        </w:rPr>
        <w:t>OROBYOV, A. O. DRACHEVA</w:t>
      </w:r>
      <w:r w:rsidRPr="00A76C4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76C41">
        <w:rPr>
          <w:rFonts w:ascii="Times New Roman" w:hAnsi="Times New Roman" w:cs="Times New Roman"/>
          <w:sz w:val="24"/>
          <w:szCs w:val="24"/>
          <w:lang w:val="en-US"/>
        </w:rPr>
        <w:t>K. D. A</w:t>
      </w:r>
      <w:r>
        <w:rPr>
          <w:rFonts w:ascii="Times New Roman" w:hAnsi="Times New Roman" w:cs="Times New Roman"/>
          <w:sz w:val="24"/>
          <w:szCs w:val="24"/>
          <w:lang w:val="en-US"/>
        </w:rPr>
        <w:t>NDREYCHUK</w:t>
      </w:r>
    </w:p>
    <w:p w:rsidR="00A76C41" w:rsidRPr="00A76C41" w:rsidRDefault="00A76C41" w:rsidP="00A76C41">
      <w:pPr>
        <w:spacing w:after="0" w:line="360" w:lineRule="auto"/>
        <w:ind w:firstLine="709"/>
        <w:rPr>
          <w:rFonts w:ascii="Times New Roman" w:hAnsi="Times New Roman" w:cs="Times New Roman"/>
          <w:sz w:val="24"/>
          <w:szCs w:val="24"/>
          <w:lang w:val="en-US"/>
        </w:rPr>
      </w:pPr>
      <w:r w:rsidRPr="00A76C41">
        <w:rPr>
          <w:rFonts w:ascii="Times New Roman" w:hAnsi="Times New Roman" w:cs="Times New Roman"/>
          <w:sz w:val="24"/>
          <w:szCs w:val="24"/>
          <w:lang w:val="en-US"/>
        </w:rPr>
        <w:lastRenderedPageBreak/>
        <w:t>Key problems in the modernization of outdoor lighting in the urban environment and methods of their solution are considered.</w:t>
      </w:r>
    </w:p>
    <w:p w:rsidR="00A76C41" w:rsidRPr="00A76C41" w:rsidRDefault="00A76C41" w:rsidP="00A76C41">
      <w:pPr>
        <w:spacing w:after="0" w:line="360" w:lineRule="auto"/>
        <w:ind w:firstLine="709"/>
        <w:rPr>
          <w:rFonts w:ascii="Times New Roman" w:hAnsi="Times New Roman" w:cs="Times New Roman"/>
          <w:sz w:val="24"/>
          <w:szCs w:val="24"/>
          <w:lang w:val="en-US"/>
        </w:rPr>
      </w:pPr>
      <w:r w:rsidRPr="00A76C41">
        <w:rPr>
          <w:rFonts w:ascii="Times New Roman" w:hAnsi="Times New Roman" w:cs="Times New Roman"/>
          <w:b/>
          <w:sz w:val="24"/>
          <w:szCs w:val="24"/>
          <w:lang w:val="en-US"/>
        </w:rPr>
        <w:t>Keywords</w:t>
      </w:r>
      <w:r w:rsidRPr="00A76C41">
        <w:rPr>
          <w:rFonts w:ascii="Times New Roman" w:hAnsi="Times New Roman" w:cs="Times New Roman"/>
          <w:sz w:val="24"/>
          <w:szCs w:val="24"/>
          <w:lang w:val="en-US"/>
        </w:rPr>
        <w:t>: lighting, energy saving, energy efficiency, urban environment</w:t>
      </w:r>
    </w:p>
    <w:sectPr w:rsidR="00A76C41" w:rsidRPr="00A76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3EE5"/>
    <w:multiLevelType w:val="multilevel"/>
    <w:tmpl w:val="44BC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00195"/>
    <w:multiLevelType w:val="hybridMultilevel"/>
    <w:tmpl w:val="A07A178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EE26E83"/>
    <w:multiLevelType w:val="hybridMultilevel"/>
    <w:tmpl w:val="30024194"/>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41F100EC"/>
    <w:multiLevelType w:val="hybridMultilevel"/>
    <w:tmpl w:val="32FA1864"/>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4" w15:restartNumberingAfterBreak="0">
    <w:nsid w:val="45D116FF"/>
    <w:multiLevelType w:val="hybridMultilevel"/>
    <w:tmpl w:val="08DC655C"/>
    <w:lvl w:ilvl="0" w:tplc="04190001">
      <w:start w:val="1"/>
      <w:numFmt w:val="bullet"/>
      <w:lvlText w:val=""/>
      <w:lvlJc w:val="left"/>
      <w:pPr>
        <w:ind w:left="1571" w:hanging="360"/>
      </w:pPr>
      <w:rPr>
        <w:rFonts w:ascii="Symbol" w:hAnsi="Symbol" w:hint="default"/>
      </w:rPr>
    </w:lvl>
    <w:lvl w:ilvl="1" w:tplc="0A48DABC">
      <w:numFmt w:val="bullet"/>
      <w:lvlText w:val="•"/>
      <w:lvlJc w:val="left"/>
      <w:pPr>
        <w:ind w:left="2456" w:hanging="525"/>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50D83053"/>
    <w:multiLevelType w:val="multilevel"/>
    <w:tmpl w:val="1CEE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0A2EEC"/>
    <w:multiLevelType w:val="multilevel"/>
    <w:tmpl w:val="854E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673B4A"/>
    <w:multiLevelType w:val="hybridMultilevel"/>
    <w:tmpl w:val="382C59B8"/>
    <w:lvl w:ilvl="0" w:tplc="75B63E38">
      <w:numFmt w:val="bullet"/>
      <w:lvlText w:val="•"/>
      <w:lvlJc w:val="left"/>
      <w:pPr>
        <w:ind w:left="1421" w:hanging="57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71FD411D"/>
    <w:multiLevelType w:val="multilevel"/>
    <w:tmpl w:val="4C64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0"/>
  </w:num>
  <w:num w:numId="5">
    <w:abstractNumId w:val="4"/>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9C"/>
    <w:rsid w:val="002A56E1"/>
    <w:rsid w:val="00335063"/>
    <w:rsid w:val="00375EA8"/>
    <w:rsid w:val="005B69CF"/>
    <w:rsid w:val="0081709C"/>
    <w:rsid w:val="00A03500"/>
    <w:rsid w:val="00A64345"/>
    <w:rsid w:val="00A76C41"/>
    <w:rsid w:val="00BC7A3F"/>
    <w:rsid w:val="00C670D9"/>
    <w:rsid w:val="00CE4CF5"/>
    <w:rsid w:val="00D2145A"/>
    <w:rsid w:val="00E15961"/>
    <w:rsid w:val="00FA3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40F7"/>
  <w15:docId w15:val="{BE574B23-B09D-4BB0-8823-C268B9C3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69CF"/>
    <w:rPr>
      <w:color w:val="0563C1" w:themeColor="hyperlink"/>
      <w:u w:val="single"/>
    </w:rPr>
  </w:style>
  <w:style w:type="paragraph" w:styleId="a4">
    <w:name w:val="List Paragraph"/>
    <w:basedOn w:val="a"/>
    <w:uiPriority w:val="34"/>
    <w:qFormat/>
    <w:rsid w:val="00A64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2198">
      <w:bodyDiv w:val="1"/>
      <w:marLeft w:val="0"/>
      <w:marRight w:val="0"/>
      <w:marTop w:val="0"/>
      <w:marBottom w:val="0"/>
      <w:divBdr>
        <w:top w:val="none" w:sz="0" w:space="0" w:color="auto"/>
        <w:left w:val="none" w:sz="0" w:space="0" w:color="auto"/>
        <w:bottom w:val="none" w:sz="0" w:space="0" w:color="auto"/>
        <w:right w:val="none" w:sz="0" w:space="0" w:color="auto"/>
      </w:divBdr>
    </w:div>
    <w:div w:id="113691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 TargetMode="External"/><Relationship Id="rId5" Type="http://schemas.openxmlformats.org/officeDocument/2006/relationships/hyperlink" Target="http://www.rg.ru/2009/11/27/energo-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1225</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Кристина Андрейчук</cp:lastModifiedBy>
  <cp:revision>2</cp:revision>
  <dcterms:created xsi:type="dcterms:W3CDTF">2020-06-10T16:03:00Z</dcterms:created>
  <dcterms:modified xsi:type="dcterms:W3CDTF">2020-06-10T16:03:00Z</dcterms:modified>
</cp:coreProperties>
</file>